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088AC" w14:textId="65B86995" w:rsidR="007C7D58" w:rsidRDefault="007C7D58">
      <w:r>
        <w:t>Justiits</w:t>
      </w:r>
      <w:r w:rsidR="00175955">
        <w:t>- ja digi</w:t>
      </w:r>
      <w:r>
        <w:t>ministeerium</w:t>
      </w:r>
    </w:p>
    <w:p w14:paraId="31EDF81C" w14:textId="77777777" w:rsidR="007C7D58" w:rsidRDefault="007C7D58"/>
    <w:p w14:paraId="5811984E" w14:textId="77777777" w:rsidR="00E101F3" w:rsidRDefault="00E101F3"/>
    <w:p w14:paraId="26AC7A0B" w14:textId="77777777" w:rsidR="00E101F3" w:rsidRDefault="00E101F3"/>
    <w:p w14:paraId="4ACF69B4" w14:textId="77777777" w:rsidR="00E101F3" w:rsidRDefault="00E101F3"/>
    <w:p w14:paraId="5FC908DF" w14:textId="432053C0" w:rsidR="007C7D58" w:rsidRDefault="00E101F3">
      <w:r>
        <w:tab/>
      </w:r>
      <w:r>
        <w:tab/>
      </w:r>
      <w:r>
        <w:tab/>
      </w:r>
      <w:r>
        <w:tab/>
      </w:r>
      <w:r>
        <w:tab/>
      </w:r>
      <w:r>
        <w:tab/>
      </w:r>
      <w:r>
        <w:tab/>
      </w:r>
      <w:r>
        <w:tab/>
      </w:r>
      <w:r>
        <w:tab/>
      </w:r>
      <w:r>
        <w:tab/>
      </w:r>
      <w:r>
        <w:tab/>
        <w:t>1.09.2025</w:t>
      </w:r>
    </w:p>
    <w:p w14:paraId="719E29F2" w14:textId="77777777" w:rsidR="00DF05CC" w:rsidRDefault="007C7D58" w:rsidP="00DF05CC">
      <w:r>
        <w:t>Austatud minister</w:t>
      </w:r>
    </w:p>
    <w:p w14:paraId="38F41657" w14:textId="24374C59" w:rsidR="007C7D58" w:rsidRDefault="00DF05CC" w:rsidP="00DF05CC">
      <w:r>
        <w:t>Eesti Naisuurimus- ja Teabekeskus (ENUT) tänab</w:t>
      </w:r>
      <w:r w:rsidR="007C7D58">
        <w:t xml:space="preserve"> võimaluse eest avaldada arvamust </w:t>
      </w:r>
      <w:r w:rsidR="007C7D58" w:rsidRPr="007C7D58">
        <w:t>Karistusseadustiku muutmise seadus</w:t>
      </w:r>
      <w:r w:rsidR="007C7D58">
        <w:t>e eelnõu kohta.</w:t>
      </w:r>
    </w:p>
    <w:p w14:paraId="1F0CB62D" w14:textId="28A05393" w:rsidR="00E83AE0" w:rsidRDefault="00F30EE6" w:rsidP="007242BD">
      <w:pPr>
        <w:jc w:val="both"/>
      </w:pPr>
      <w:r>
        <w:t xml:space="preserve">Oleme jätkuvalt arvamusel, et </w:t>
      </w:r>
      <w:r w:rsidR="00530682">
        <w:t xml:space="preserve">Eesti täidaks parimal võimalikul viisil </w:t>
      </w:r>
      <w:r w:rsidR="007242BD">
        <w:t>naistevastase vägivalla ja perevägivalla ennetamise Euroopa Nõukogu konventsiooni ehk I</w:t>
      </w:r>
      <w:r w:rsidR="00530682">
        <w:t xml:space="preserve">stanbuli konventsiooni ja </w:t>
      </w:r>
      <w:r w:rsidR="00005EBD" w:rsidRPr="00005EBD">
        <w:t>ÜRO konventsioon</w:t>
      </w:r>
      <w:r w:rsidR="00005EBD">
        <w:t>i</w:t>
      </w:r>
      <w:r w:rsidR="00BA7992">
        <w:t>ga</w:t>
      </w:r>
      <w:r w:rsidR="00005EBD" w:rsidRPr="00005EBD">
        <w:t xml:space="preserve"> naiste diskrimineerimise kõigi vormide likvideerimise kohta</w:t>
      </w:r>
      <w:r w:rsidR="00005EBD">
        <w:t xml:space="preserve"> võetud kohustusi, kui karistusõigus</w:t>
      </w:r>
      <w:r w:rsidR="004B142D">
        <w:t>es</w:t>
      </w:r>
      <w:r w:rsidR="00005EBD">
        <w:t xml:space="preserve"> </w:t>
      </w:r>
      <w:r w:rsidR="001D59B2">
        <w:t>käsitle</w:t>
      </w:r>
      <w:r w:rsidR="004B142D">
        <w:t>ta</w:t>
      </w:r>
      <w:r w:rsidR="001D59B2">
        <w:t xml:space="preserve">ks seksuaalkuritegusid </w:t>
      </w:r>
      <w:r w:rsidR="00BA7992">
        <w:t xml:space="preserve">nõusolekupõhiselt </w:t>
      </w:r>
      <w:r w:rsidR="001D59B2">
        <w:t xml:space="preserve">nn JAH-mudeli </w:t>
      </w:r>
      <w:r w:rsidR="005239C0">
        <w:t xml:space="preserve">alusel. </w:t>
      </w:r>
    </w:p>
    <w:p w14:paraId="5DDCC390" w14:textId="70AA5575" w:rsidR="007C7D58" w:rsidRDefault="00B0375C" w:rsidP="00E83AE0">
      <w:pPr>
        <w:jc w:val="both"/>
      </w:pPr>
      <w:r>
        <w:t>Tunnustame</w:t>
      </w:r>
      <w:r w:rsidR="005239C0">
        <w:t xml:space="preserve"> justiits</w:t>
      </w:r>
      <w:r>
        <w:t>- ja digi</w:t>
      </w:r>
      <w:r w:rsidR="005239C0">
        <w:t>ministeeriumi väljatöötatud eelnõu</w:t>
      </w:r>
      <w:r w:rsidR="00D67318">
        <w:t xml:space="preserve"> eest</w:t>
      </w:r>
      <w:r w:rsidR="00E83AE0">
        <w:t>, mis to</w:t>
      </w:r>
      <w:r w:rsidR="006C7A52">
        <w:t>o</w:t>
      </w:r>
      <w:r w:rsidR="00E83AE0">
        <w:t>b Eesti õigussüsteemi põhimõttelise muutuse vägistamise ja muude seksuaalkuritegude koosseisudes</w:t>
      </w:r>
      <w:r w:rsidR="00D742AE">
        <w:t>se</w:t>
      </w:r>
      <w:r w:rsidR="00D67318">
        <w:t>. Leiame, et eelnõus kavandatud KarS-i muudatused on vastavuses Istanbuli konventsiooni artikliga 36.</w:t>
      </w:r>
      <w:r w:rsidR="00D742AE">
        <w:t xml:space="preserve"> </w:t>
      </w:r>
    </w:p>
    <w:p w14:paraId="23F1B964" w14:textId="32418403" w:rsidR="00DB3134" w:rsidRDefault="00DB3134" w:rsidP="002074E6">
      <w:pPr>
        <w:pStyle w:val="ListParagraph"/>
        <w:numPr>
          <w:ilvl w:val="0"/>
          <w:numId w:val="1"/>
        </w:numPr>
        <w:jc w:val="both"/>
      </w:pPr>
      <w:r>
        <w:t>Teeme ettepaneku s</w:t>
      </w:r>
      <w:r w:rsidR="00C3317C">
        <w:t xml:space="preserve">õnastada </w:t>
      </w:r>
      <w:r>
        <w:t>kavandatav KarS paragrahvi 141 täiend</w:t>
      </w:r>
      <w:r w:rsidR="007730F1">
        <w:t xml:space="preserve">av </w:t>
      </w:r>
      <w:r>
        <w:t>lõi</w:t>
      </w:r>
      <w:r w:rsidR="007730F1">
        <w:t>ge</w:t>
      </w:r>
      <w:r>
        <w:t xml:space="preserve"> 5 järgmise</w:t>
      </w:r>
      <w:r w:rsidR="007730F1">
        <w:t>lt</w:t>
      </w:r>
      <w:r>
        <w:t>:</w:t>
      </w:r>
    </w:p>
    <w:p w14:paraId="0B620973" w14:textId="77777777" w:rsidR="00DB3134" w:rsidRPr="008865C5" w:rsidRDefault="00DB3134" w:rsidP="007730F1">
      <w:pPr>
        <w:pStyle w:val="ListParagraph"/>
        <w:jc w:val="both"/>
        <w:rPr>
          <w:i/>
          <w:iCs/>
        </w:rPr>
      </w:pPr>
      <w:r w:rsidRPr="008865C5">
        <w:rPr>
          <w:i/>
          <w:iCs/>
        </w:rPr>
        <w:t>„(5) Vabaks ja väljendatud nõusolekuks käesoleva paragrahvi tähenduses ei loeta olukorda, kus:</w:t>
      </w:r>
    </w:p>
    <w:p w14:paraId="4B112544" w14:textId="77777777" w:rsidR="00DB3134" w:rsidRPr="008865C5" w:rsidRDefault="00DB3134" w:rsidP="007730F1">
      <w:pPr>
        <w:pStyle w:val="ListParagraph"/>
        <w:jc w:val="both"/>
        <w:rPr>
          <w:i/>
          <w:iCs/>
        </w:rPr>
      </w:pPr>
      <w:r w:rsidRPr="008865C5">
        <w:rPr>
          <w:i/>
          <w:iCs/>
        </w:rPr>
        <w:t>1) isik ei ole sõnaliselt, käitumisega ega muul viisil väljendanud, et ta osaleb suguühtes vabatahtlikult;</w:t>
      </w:r>
    </w:p>
    <w:p w14:paraId="6BCF8D26" w14:textId="77777777" w:rsidR="00DB3134" w:rsidRPr="008865C5" w:rsidRDefault="00DB3134" w:rsidP="007730F1">
      <w:pPr>
        <w:pStyle w:val="ListParagraph"/>
        <w:jc w:val="both"/>
        <w:rPr>
          <w:i/>
          <w:iCs/>
        </w:rPr>
      </w:pPr>
      <w:r w:rsidRPr="008865C5">
        <w:rPr>
          <w:i/>
          <w:iCs/>
        </w:rPr>
        <w:t>2) isik sunniti suguühtesse vägivallaga või ähvardusega;</w:t>
      </w:r>
    </w:p>
    <w:p w14:paraId="5A66F55F" w14:textId="210D66BA" w:rsidR="00C3317C" w:rsidRDefault="00DB3134" w:rsidP="002074E6">
      <w:pPr>
        <w:pStyle w:val="ListParagraph"/>
        <w:jc w:val="both"/>
      </w:pPr>
      <w:r w:rsidRPr="008865C5">
        <w:rPr>
          <w:i/>
          <w:iCs/>
        </w:rPr>
        <w:t xml:space="preserve">3) </w:t>
      </w:r>
      <w:r w:rsidR="00B4321B" w:rsidRPr="008865C5">
        <w:rPr>
          <w:i/>
          <w:iCs/>
          <w:u w:val="single"/>
        </w:rPr>
        <w:t>isikul on</w:t>
      </w:r>
      <w:r w:rsidR="00B4321B" w:rsidRPr="008865C5">
        <w:rPr>
          <w:i/>
          <w:iCs/>
        </w:rPr>
        <w:t xml:space="preserve"> </w:t>
      </w:r>
      <w:r w:rsidRPr="008865C5">
        <w:rPr>
          <w:i/>
          <w:iCs/>
        </w:rPr>
        <w:t>teadvushäire, haigus, puue, hirm toimepanija ees, tardumine, mürgistus, võimupositsiooni kuritarvitamine toimepanija poolt või muu võrreldav põhjus</w:t>
      </w:r>
      <w:r>
        <w:t>.“</w:t>
      </w:r>
    </w:p>
    <w:p w14:paraId="748D2BB2" w14:textId="77777777" w:rsidR="002074E6" w:rsidRDefault="002074E6" w:rsidP="002074E6">
      <w:pPr>
        <w:pStyle w:val="ListParagraph"/>
        <w:jc w:val="both"/>
      </w:pPr>
    </w:p>
    <w:p w14:paraId="2BD78516" w14:textId="7E7F5CD4" w:rsidR="00FB3DF5" w:rsidRDefault="00C3317C" w:rsidP="00736E01">
      <w:pPr>
        <w:pStyle w:val="ListParagraph"/>
        <w:jc w:val="both"/>
      </w:pPr>
      <w:r w:rsidRPr="00E8344B">
        <w:rPr>
          <w:b/>
          <w:bCs/>
        </w:rPr>
        <w:t>Põhjendus</w:t>
      </w:r>
      <w:r>
        <w:t>:</w:t>
      </w:r>
      <w:r w:rsidR="00724DC5">
        <w:t xml:space="preserve"> </w:t>
      </w:r>
      <w:r w:rsidR="002074E6">
        <w:t>Mitmed</w:t>
      </w:r>
      <w:r>
        <w:t xml:space="preserve"> loetelus nimetatud olukorrad (nt teadvusekaotus) või tunnused takistavad tõepoolest isikul üldse tahet kujundada ja/või nõusolekut väljendada, kuid mitmed neist on pigem isiku abitust esile kutsuvad seisundid. Igal juhul ei saa </w:t>
      </w:r>
      <w:r w:rsidR="008201FF">
        <w:t>väita</w:t>
      </w:r>
      <w:r>
        <w:t xml:space="preserve">, et need </w:t>
      </w:r>
      <w:r w:rsidR="008201FF">
        <w:t xml:space="preserve">tähendavad </w:t>
      </w:r>
      <w:r>
        <w:t>automaatselt</w:t>
      </w:r>
      <w:r w:rsidR="008201FF">
        <w:t xml:space="preserve"> seda</w:t>
      </w:r>
      <w:r>
        <w:t xml:space="preserve">, et isik ei saanud </w:t>
      </w:r>
      <w:r w:rsidR="008201FF">
        <w:t xml:space="preserve">oma </w:t>
      </w:r>
      <w:r>
        <w:t xml:space="preserve">tahtet kujundada. </w:t>
      </w:r>
      <w:r w:rsidR="008201FF">
        <w:t>Näiteks p</w:t>
      </w:r>
      <w:r>
        <w:t>uudega inimene üldjuhul teab täpselt, kellega ta soovib seks</w:t>
      </w:r>
      <w:r w:rsidR="00DA22C6">
        <w:t>ida</w:t>
      </w:r>
      <w:r w:rsidR="00455EB2">
        <w:t>, kellega mitte</w:t>
      </w:r>
      <w:r>
        <w:t>, kuid tema nt liikumis</w:t>
      </w:r>
      <w:r w:rsidR="00352507">
        <w:t>puue</w:t>
      </w:r>
      <w:r w:rsidR="00DA22C6">
        <w:t xml:space="preserve"> </w:t>
      </w:r>
      <w:r w:rsidR="00352507">
        <w:t xml:space="preserve">või -raskus </w:t>
      </w:r>
      <w:r>
        <w:t>võib takistada tal vägistajale vastu hak</w:t>
      </w:r>
      <w:r w:rsidR="00C01F26">
        <w:t>k</w:t>
      </w:r>
      <w:r w:rsidR="00352507">
        <w:t>amast</w:t>
      </w:r>
      <w:r w:rsidR="00815EA7">
        <w:t xml:space="preserve">, mis teeb temast abituse tõttu </w:t>
      </w:r>
      <w:r w:rsidR="00455EB2">
        <w:t xml:space="preserve">toimepanijale </w:t>
      </w:r>
      <w:r w:rsidR="00455EB2">
        <w:lastRenderedPageBreak/>
        <w:t>hõlpsa ohvri</w:t>
      </w:r>
      <w:r>
        <w:t xml:space="preserve">. </w:t>
      </w:r>
      <w:r w:rsidR="00DC0962">
        <w:t xml:space="preserve">Samuti võib teatud puudeliikidega inimeste puhul, näiteks </w:t>
      </w:r>
      <w:r w:rsidR="00F26978">
        <w:t>kuulmispuudega inimeste seas olla tahte väljendamine mittesõnaline</w:t>
      </w:r>
      <w:r w:rsidR="006F4BF2">
        <w:t>, teemat uurinud teadl</w:t>
      </w:r>
      <w:r w:rsidR="00182768">
        <w:t>a</w:t>
      </w:r>
      <w:r w:rsidR="006F4BF2">
        <w:t>sed ei ole aga seadnud kahtluse alla kuulmispuudega inimese võimet tahet kujundada</w:t>
      </w:r>
      <w:r w:rsidR="00F238D5">
        <w:t>, pigem on keskendutud mittesõnalise tahteväljendusega seonduva</w:t>
      </w:r>
      <w:r w:rsidR="00FB3DF5">
        <w:t>l</w:t>
      </w:r>
      <w:r w:rsidR="00F238D5">
        <w:t>e mitmetimõistetavuse</w:t>
      </w:r>
      <w:r w:rsidR="00FB3DF5">
        <w:t xml:space="preserve"> võimaluse</w:t>
      </w:r>
      <w:r w:rsidR="00F238D5">
        <w:t>le</w:t>
      </w:r>
      <w:r w:rsidR="00F26978">
        <w:t>.</w:t>
      </w:r>
      <w:r w:rsidR="006F4BF2">
        <w:rPr>
          <w:rStyle w:val="FootnoteReference"/>
        </w:rPr>
        <w:footnoteReference w:id="1"/>
      </w:r>
      <w:r w:rsidR="00F26978">
        <w:t xml:space="preserve"> </w:t>
      </w:r>
    </w:p>
    <w:p w14:paraId="16A0A134" w14:textId="77777777" w:rsidR="00FB3DF5" w:rsidRDefault="00FB3DF5" w:rsidP="00736E01">
      <w:pPr>
        <w:pStyle w:val="ListParagraph"/>
        <w:jc w:val="both"/>
      </w:pPr>
    </w:p>
    <w:p w14:paraId="77F21EA2" w14:textId="4C3ECC6A" w:rsidR="00385964" w:rsidRDefault="00C3317C" w:rsidP="00736E01">
      <w:pPr>
        <w:pStyle w:val="ListParagraph"/>
        <w:jc w:val="both"/>
      </w:pPr>
      <w:r>
        <w:t xml:space="preserve">Tardumine on </w:t>
      </w:r>
      <w:r w:rsidR="00F34B49">
        <w:t xml:space="preserve">aga </w:t>
      </w:r>
      <w:r>
        <w:t xml:space="preserve">vägistamissituatsioonis ohvrile tahtevastasest seksuaalsest tegevusest tekkinud hirmu kehaline reaktsioon. </w:t>
      </w:r>
      <w:r w:rsidR="00F34B49">
        <w:t xml:space="preserve">Ebatäpne oleks </w:t>
      </w:r>
      <w:r>
        <w:t xml:space="preserve">öelda, et </w:t>
      </w:r>
      <w:r w:rsidR="00B94D17">
        <w:t xml:space="preserve">tardumist ehk toonilist liikumatust kogev </w:t>
      </w:r>
      <w:r>
        <w:t>isik ei olnud oma tahet kujundanud</w:t>
      </w:r>
      <w:r w:rsidR="0027684D">
        <w:t xml:space="preserve">, pigem ei olnud ta </w:t>
      </w:r>
      <w:r w:rsidR="000A5A79">
        <w:t xml:space="preserve">seksuaalvahekorraks </w:t>
      </w:r>
      <w:r w:rsidR="00F409B6">
        <w:t xml:space="preserve">tahte puudumist väljendanud </w:t>
      </w:r>
      <w:r w:rsidR="000A5A79">
        <w:t xml:space="preserve">füüsilise </w:t>
      </w:r>
      <w:r w:rsidR="0027684D">
        <w:t>vastuhaku kaudu</w:t>
      </w:r>
      <w:r w:rsidR="00DC7EB4">
        <w:t xml:space="preserve">. Just selline on </w:t>
      </w:r>
      <w:r w:rsidR="00F409B6">
        <w:t xml:space="preserve">praegu </w:t>
      </w:r>
      <w:r w:rsidR="0027684D">
        <w:t>kehtivas õiguses</w:t>
      </w:r>
      <w:r w:rsidR="004F0D45">
        <w:t xml:space="preserve"> ja selle rakendamisel</w:t>
      </w:r>
      <w:r w:rsidR="0027684D">
        <w:t xml:space="preserve"> käibiv lähenemine, kus </w:t>
      </w:r>
      <w:r w:rsidR="00096784">
        <w:t>tahtevastasust</w:t>
      </w:r>
      <w:r w:rsidR="0027684D">
        <w:t xml:space="preserve"> on defineer</w:t>
      </w:r>
      <w:r w:rsidR="004F0D45">
        <w:t xml:space="preserve">itud aktiivse vastuhaku kaudu, mis </w:t>
      </w:r>
      <w:r w:rsidR="00FC105F">
        <w:t xml:space="preserve">on probleemne </w:t>
      </w:r>
      <w:r w:rsidR="00096784">
        <w:t xml:space="preserve">just </w:t>
      </w:r>
      <w:r w:rsidR="00FC105F">
        <w:t>seoses paljude vägistamisohvrite kogetava tardumise</w:t>
      </w:r>
      <w:r w:rsidR="005A26F1">
        <w:t>ga seoses</w:t>
      </w:r>
      <w:r w:rsidR="00736E01">
        <w:t>.</w:t>
      </w:r>
      <w:r w:rsidR="004A12EA">
        <w:rPr>
          <w:rStyle w:val="FootnoteReference"/>
        </w:rPr>
        <w:footnoteReference w:id="2"/>
      </w:r>
      <w:r w:rsidR="00736E01">
        <w:t xml:space="preserve"> </w:t>
      </w:r>
      <w:r w:rsidR="000900E8">
        <w:t>Se</w:t>
      </w:r>
      <w:r w:rsidR="00C861E5">
        <w:t>l põhjusel</w:t>
      </w:r>
      <w:r w:rsidR="000900E8">
        <w:t xml:space="preserve"> on </w:t>
      </w:r>
      <w:r w:rsidR="00C861E5">
        <w:t xml:space="preserve">ka </w:t>
      </w:r>
      <w:r w:rsidR="0007423E">
        <w:t>GREVIO</w:t>
      </w:r>
      <w:r w:rsidR="005A26F1">
        <w:t xml:space="preserve"> soovitanud </w:t>
      </w:r>
      <w:r w:rsidR="0007423E">
        <w:t>Eestil viia ellu põhjalik seksuaalvägivalla karistusõiguslik reform</w:t>
      </w:r>
      <w:r w:rsidR="000900E8">
        <w:t>.</w:t>
      </w:r>
      <w:r w:rsidR="00E27DD8">
        <w:rPr>
          <w:rStyle w:val="FootnoteReference"/>
        </w:rPr>
        <w:footnoteReference w:id="3"/>
      </w:r>
      <w:r w:rsidR="004D0292">
        <w:t xml:space="preserve"> </w:t>
      </w:r>
      <w:r w:rsidR="00C861E5">
        <w:t xml:space="preserve">Ülaltoodud põhjendustel </w:t>
      </w:r>
      <w:r w:rsidR="000900E8">
        <w:t>t</w:t>
      </w:r>
      <w:r w:rsidR="004D0292">
        <w:t xml:space="preserve">eeme ettepaneku kustutada </w:t>
      </w:r>
      <w:r w:rsidR="00E8344B">
        <w:t>sättest lauseosa: "</w:t>
      </w:r>
      <w:r w:rsidR="00E8344B" w:rsidRPr="00736E01">
        <w:rPr>
          <w:i/>
          <w:iCs/>
        </w:rPr>
        <w:t>toimepanija seadis eesmärgiks või teadis, et isik ei saa oma tahet kujundada järgmistel põhjustel</w:t>
      </w:r>
      <w:r w:rsidR="00E8344B">
        <w:t>“.</w:t>
      </w:r>
      <w:r w:rsidR="00F22A4C">
        <w:t xml:space="preserve"> Seda enam, et </w:t>
      </w:r>
      <w:r w:rsidR="006073B8">
        <w:t xml:space="preserve">viidatud lauseosa toob </w:t>
      </w:r>
      <w:r w:rsidR="00443A8B">
        <w:t>eeldatavasti</w:t>
      </w:r>
      <w:r w:rsidR="006F4576">
        <w:t xml:space="preserve"> </w:t>
      </w:r>
      <w:r w:rsidR="004E0EB4">
        <w:t xml:space="preserve">kohtuliku arutelu </w:t>
      </w:r>
      <w:r w:rsidR="00500FF0">
        <w:t xml:space="preserve">keskmesse </w:t>
      </w:r>
      <w:r w:rsidR="006073B8">
        <w:t xml:space="preserve">vaba nõusoleku üle </w:t>
      </w:r>
      <w:r w:rsidR="006F4576">
        <w:t xml:space="preserve">hoopis </w:t>
      </w:r>
      <w:r w:rsidR="00385964">
        <w:t>toimepanija tahtluse.</w:t>
      </w:r>
    </w:p>
    <w:p w14:paraId="5978957C" w14:textId="2CAFAF1A" w:rsidR="009E5D48" w:rsidRDefault="008F5C6E" w:rsidP="0037461E">
      <w:pPr>
        <w:pStyle w:val="ListParagraph"/>
        <w:numPr>
          <w:ilvl w:val="0"/>
          <w:numId w:val="1"/>
        </w:numPr>
        <w:jc w:val="both"/>
      </w:pPr>
      <w:r>
        <w:t xml:space="preserve">Eesti avalikkuses, sh õigusteadlaste seas, on kõlanud arvamusi, et </w:t>
      </w:r>
      <w:r w:rsidR="00FF4E2F">
        <w:t xml:space="preserve">karistusseadustiku muutmine ei </w:t>
      </w:r>
      <w:r w:rsidR="00E759BD">
        <w:t xml:space="preserve">pruugi tuua </w:t>
      </w:r>
      <w:r w:rsidR="00FF4E2F">
        <w:t xml:space="preserve">kaasa </w:t>
      </w:r>
      <w:r w:rsidR="00E759BD">
        <w:t xml:space="preserve">soovitud </w:t>
      </w:r>
      <w:r w:rsidR="00FF4E2F">
        <w:t>muutust käitumises ja laiemalt seksuaalkultuuris. Oleme erineval arvamusel</w:t>
      </w:r>
      <w:r w:rsidR="009A54BC">
        <w:t xml:space="preserve">. </w:t>
      </w:r>
      <w:r w:rsidR="00686197">
        <w:t xml:space="preserve">Iga õigusnorm </w:t>
      </w:r>
      <w:r w:rsidR="00D94011">
        <w:t>kujundab ühiskonna</w:t>
      </w:r>
      <w:r w:rsidR="00952D01">
        <w:t xml:space="preserve"> </w:t>
      </w:r>
      <w:r w:rsidR="00D94011">
        <w:t>liikmete käitumist ning arusaamist sellest, mi</w:t>
      </w:r>
      <w:r w:rsidR="007A6576">
        <w:t xml:space="preserve">lline </w:t>
      </w:r>
      <w:r w:rsidR="00D94011">
        <w:t>on lubatud</w:t>
      </w:r>
      <w:r w:rsidR="00D027E3">
        <w:t xml:space="preserve"> ja </w:t>
      </w:r>
      <w:r w:rsidR="007A6576">
        <w:t xml:space="preserve">milline on </w:t>
      </w:r>
      <w:r w:rsidR="00D027E3">
        <w:t xml:space="preserve">lubamatu käitumine. Karistusõiguselgi on </w:t>
      </w:r>
      <w:r w:rsidR="00127E39">
        <w:t xml:space="preserve">teiste eesmärkide seas ka </w:t>
      </w:r>
      <w:r w:rsidR="00D027E3">
        <w:t xml:space="preserve">see ülesanne. </w:t>
      </w:r>
      <w:r w:rsidR="00BD61F9">
        <w:t>Värske kirjanduse analüüs leidis, et vägistamis</w:t>
      </w:r>
      <w:r w:rsidR="007A6576">
        <w:t>t</w:t>
      </w:r>
      <w:r w:rsidR="00BD61F9">
        <w:t xml:space="preserve">e </w:t>
      </w:r>
      <w:r w:rsidR="00187E2D">
        <w:t xml:space="preserve">tõhusaks </w:t>
      </w:r>
      <w:r w:rsidR="00BD61F9">
        <w:t xml:space="preserve">ennetamiseks on </w:t>
      </w:r>
      <w:r w:rsidR="00187E2D" w:rsidRPr="00187E2D">
        <w:t>vaja mitme</w:t>
      </w:r>
      <w:r w:rsidR="00187E2D">
        <w:t>külgset</w:t>
      </w:r>
      <w:r w:rsidR="00187E2D" w:rsidRPr="00187E2D">
        <w:t xml:space="preserve"> lähenemisviisi, mi</w:t>
      </w:r>
      <w:r w:rsidR="00357477">
        <w:t>s koosneb</w:t>
      </w:r>
      <w:r w:rsidR="00187E2D">
        <w:t xml:space="preserve"> </w:t>
      </w:r>
      <w:r w:rsidR="004E29C7">
        <w:t xml:space="preserve">kindlapiirilise sisuga </w:t>
      </w:r>
      <w:r w:rsidR="00187E2D" w:rsidRPr="00187E2D">
        <w:t>õigusraamistik</w:t>
      </w:r>
      <w:r w:rsidR="00357477">
        <w:t>ust</w:t>
      </w:r>
      <w:r w:rsidR="00187E2D" w:rsidRPr="00187E2D">
        <w:t>, põhjalik</w:t>
      </w:r>
      <w:r w:rsidR="00357477">
        <w:t>ust</w:t>
      </w:r>
      <w:r w:rsidR="00187E2D" w:rsidRPr="00187E2D">
        <w:t xml:space="preserve"> nõusolekut käsitleva</w:t>
      </w:r>
      <w:r w:rsidR="00357477">
        <w:t>s</w:t>
      </w:r>
      <w:r w:rsidR="00187E2D" w:rsidRPr="00187E2D">
        <w:t>t haridus</w:t>
      </w:r>
      <w:r w:rsidR="008B61DD">
        <w:t>es</w:t>
      </w:r>
      <w:r w:rsidR="00187E2D" w:rsidRPr="00187E2D">
        <w:t>t, üldsuse teadlikkuse tõstmise kampaania</w:t>
      </w:r>
      <w:r w:rsidR="008B61DD">
        <w:t>test</w:t>
      </w:r>
      <w:r w:rsidR="00187E2D" w:rsidRPr="00187E2D">
        <w:t>, sotsiaalse</w:t>
      </w:r>
      <w:r w:rsidR="008B61DD">
        <w:t>s</w:t>
      </w:r>
      <w:r w:rsidR="00187E2D" w:rsidRPr="00187E2D">
        <w:t>t kontrolli</w:t>
      </w:r>
      <w:r w:rsidR="008B61DD">
        <w:t>st</w:t>
      </w:r>
      <w:r w:rsidR="00187E2D" w:rsidRPr="00187E2D">
        <w:t xml:space="preserve"> </w:t>
      </w:r>
      <w:r w:rsidR="009E5D48">
        <w:t>ning</w:t>
      </w:r>
      <w:r w:rsidR="00187E2D" w:rsidRPr="00187E2D">
        <w:t xml:space="preserve"> kogukonna valvsus</w:t>
      </w:r>
      <w:r w:rsidR="008B61DD">
        <w:t>es</w:t>
      </w:r>
      <w:r w:rsidR="00187E2D" w:rsidRPr="00187E2D">
        <w:t>t.</w:t>
      </w:r>
      <w:r w:rsidR="008B61DD">
        <w:rPr>
          <w:rStyle w:val="FootnoteReference"/>
        </w:rPr>
        <w:footnoteReference w:id="4"/>
      </w:r>
      <w:r w:rsidR="00BD61F9">
        <w:t xml:space="preserve"> </w:t>
      </w:r>
      <w:r w:rsidR="00127E39">
        <w:t>See tähendab, et ka Eestis ei saa me piirduda vaid karistusseadustiku muutmisega, kuid see on vältimatu samm.</w:t>
      </w:r>
    </w:p>
    <w:p w14:paraId="3C3F283F" w14:textId="77777777" w:rsidR="00DF2461" w:rsidRDefault="00DF2461" w:rsidP="00DF2461">
      <w:pPr>
        <w:pStyle w:val="ListParagraph"/>
        <w:jc w:val="both"/>
      </w:pPr>
    </w:p>
    <w:p w14:paraId="03E3C335" w14:textId="456F84C4" w:rsidR="00DF2461" w:rsidRDefault="00DF2461" w:rsidP="00DF2461">
      <w:pPr>
        <w:pStyle w:val="ListParagraph"/>
        <w:jc w:val="both"/>
      </w:pPr>
      <w:r>
        <w:lastRenderedPageBreak/>
        <w:t>Äsja ilmunud käsitlus</w:t>
      </w:r>
      <w:r w:rsidR="003B76F3">
        <w:t>es</w:t>
      </w:r>
      <w:r>
        <w:t xml:space="preserve"> Rootsi 2018. aastast pärineva </w:t>
      </w:r>
      <w:r w:rsidR="007F13F2">
        <w:t>nõusoleku</w:t>
      </w:r>
      <w:r w:rsidR="003E7DBD">
        <w:t>põhise</w:t>
      </w:r>
      <w:r w:rsidR="003B76F3">
        <w:t xml:space="preserve"> </w:t>
      </w:r>
      <w:r w:rsidR="004E0C4C">
        <w:t>karistus</w:t>
      </w:r>
      <w:r w:rsidR="003B76F3">
        <w:t xml:space="preserve">seaduse rakendamise kohta leiavad autorid, et </w:t>
      </w:r>
      <w:r w:rsidR="002E03A2">
        <w:t xml:space="preserve">erinevatest </w:t>
      </w:r>
      <w:r w:rsidR="003B76F3">
        <w:t xml:space="preserve">keerukustest hoolimata on nad seaduse </w:t>
      </w:r>
      <w:r w:rsidR="002E03A2">
        <w:t xml:space="preserve">soovitud </w:t>
      </w:r>
      <w:r w:rsidR="003B76F3">
        <w:t>muutust esilekutsuva võime osas optimistlikult meelestatud.</w:t>
      </w:r>
      <w:r w:rsidR="00927978">
        <w:rPr>
          <w:rStyle w:val="FootnoteReference"/>
        </w:rPr>
        <w:footnoteReference w:id="5"/>
      </w:r>
      <w:r w:rsidR="003B76F3">
        <w:t xml:space="preserve"> </w:t>
      </w:r>
      <w:r w:rsidR="001C1A1A">
        <w:t>See peaks andma Eesti seadusandjale julgust</w:t>
      </w:r>
      <w:r w:rsidR="00DD49D1">
        <w:t xml:space="preserve"> viia kavandatav karistusõiguse reform läbi ka siin.</w:t>
      </w:r>
    </w:p>
    <w:p w14:paraId="1447BEDA" w14:textId="77777777" w:rsidR="009E5D48" w:rsidRDefault="009E5D48" w:rsidP="009E5D48">
      <w:pPr>
        <w:pStyle w:val="ListParagraph"/>
        <w:jc w:val="both"/>
      </w:pPr>
    </w:p>
    <w:p w14:paraId="136D36C2" w14:textId="62452C24" w:rsidR="002C6DFF" w:rsidRDefault="00D027E3" w:rsidP="009E5D48">
      <w:pPr>
        <w:pStyle w:val="ListParagraph"/>
        <w:jc w:val="both"/>
      </w:pPr>
      <w:r>
        <w:t xml:space="preserve">Karistusõiguse muutmise debatt on </w:t>
      </w:r>
      <w:r w:rsidR="00C927EB">
        <w:t xml:space="preserve">Eestis </w:t>
      </w:r>
      <w:r>
        <w:t xml:space="preserve">väldanud </w:t>
      </w:r>
      <w:r w:rsidR="00C927EB">
        <w:t xml:space="preserve">tänaseks </w:t>
      </w:r>
      <w:r>
        <w:t xml:space="preserve">mitu aastat ning juba </w:t>
      </w:r>
      <w:r w:rsidR="00FA7EC7">
        <w:t xml:space="preserve">ainuüksi </w:t>
      </w:r>
      <w:r>
        <w:t>se</w:t>
      </w:r>
      <w:r w:rsidR="00FA7EC7">
        <w:t>lle toimumine on avardanud inimeste mõistmist sellest</w:t>
      </w:r>
      <w:r w:rsidR="00952D01">
        <w:t xml:space="preserve">, mis on </w:t>
      </w:r>
      <w:r w:rsidR="00EC3AD2">
        <w:t>probleemne</w:t>
      </w:r>
      <w:r w:rsidR="00952D01">
        <w:t xml:space="preserve"> kehtivas vägi</w:t>
      </w:r>
      <w:r w:rsidR="00EC3AD2">
        <w:t>sta</w:t>
      </w:r>
      <w:r w:rsidR="00952D01">
        <w:t>mise koosseisus</w:t>
      </w:r>
      <w:r w:rsidR="00C927EB">
        <w:t>, mi</w:t>
      </w:r>
      <w:r w:rsidR="00EC3AD2">
        <w:t>lline</w:t>
      </w:r>
      <w:r w:rsidR="00C927EB">
        <w:t xml:space="preserve"> on nõusolekupõhine seksuaalkultuur ning </w:t>
      </w:r>
      <w:r w:rsidR="006004A8">
        <w:t xml:space="preserve">millist mõttemallide muutust kavandatav karistusõiguse reform </w:t>
      </w:r>
      <w:r w:rsidR="00EC3AD2">
        <w:t xml:space="preserve">eeldatavalt </w:t>
      </w:r>
      <w:r w:rsidR="006004A8">
        <w:t xml:space="preserve">kaasa toob. </w:t>
      </w:r>
    </w:p>
    <w:p w14:paraId="51F175CD" w14:textId="77777777" w:rsidR="002E03A2" w:rsidRDefault="002E03A2" w:rsidP="009E5D48">
      <w:pPr>
        <w:pStyle w:val="ListParagraph"/>
        <w:jc w:val="both"/>
      </w:pPr>
    </w:p>
    <w:p w14:paraId="74F046D7" w14:textId="309CA2DC" w:rsidR="00E8344B" w:rsidRDefault="006B1DB6" w:rsidP="00F10D87">
      <w:pPr>
        <w:pStyle w:val="ListParagraph"/>
        <w:jc w:val="both"/>
      </w:pPr>
      <w:r>
        <w:t>Eestis on uuritud</w:t>
      </w:r>
      <w:r w:rsidR="00AD6F45">
        <w:t xml:space="preserve"> politseinik</w:t>
      </w:r>
      <w:r w:rsidR="00724DC5">
        <w:t>k</w:t>
      </w:r>
      <w:r w:rsidR="00AD6F45">
        <w:t>e, prokuröre, t</w:t>
      </w:r>
      <w:r w:rsidR="00677486">
        <w:t>ervishoiutöötajaid</w:t>
      </w:r>
      <w:r w:rsidR="00AD6F45">
        <w:t xml:space="preserve"> ja ohvriabi töötajaid instervjueerides</w:t>
      </w:r>
      <w:r>
        <w:t xml:space="preserve">, kuidas mõjutavad </w:t>
      </w:r>
      <w:r w:rsidR="00AD6F45">
        <w:t xml:space="preserve">seksuaalvägivalla </w:t>
      </w:r>
      <w:r w:rsidR="00EC3AD2">
        <w:t>kohtueelset</w:t>
      </w:r>
      <w:r w:rsidR="00724DC5">
        <w:t xml:space="preserve"> </w:t>
      </w:r>
      <w:r w:rsidR="00AD6F45">
        <w:t>menetlust õigusnormid</w:t>
      </w:r>
      <w:r w:rsidR="00677486">
        <w:t>.</w:t>
      </w:r>
      <w:r w:rsidR="00677486">
        <w:rPr>
          <w:rStyle w:val="FootnoteReference"/>
        </w:rPr>
        <w:footnoteReference w:id="6"/>
      </w:r>
      <w:r w:rsidR="00677486">
        <w:t xml:space="preserve"> </w:t>
      </w:r>
      <w:r w:rsidR="00932530">
        <w:t>Kohtueelse</w:t>
      </w:r>
      <w:r w:rsidR="00375D4F">
        <w:t>t menetlust läbi</w:t>
      </w:r>
      <w:r w:rsidR="00C673E9">
        <w:t xml:space="preserve"> </w:t>
      </w:r>
      <w:r w:rsidR="00375D4F">
        <w:t xml:space="preserve">viivad eksperdid </w:t>
      </w:r>
      <w:r w:rsidR="00932530">
        <w:t xml:space="preserve">tõid välja, et </w:t>
      </w:r>
      <w:r w:rsidR="00375D4F">
        <w:t xml:space="preserve">kehtiva õiguse vägistamise </w:t>
      </w:r>
      <w:r w:rsidR="00932530">
        <w:t>süüteo koosseisu kolme elemendi asemel pööratakse enim</w:t>
      </w:r>
      <w:r w:rsidR="00375D4F">
        <w:t xml:space="preserve"> </w:t>
      </w:r>
      <w:r w:rsidR="00932530">
        <w:t>tähelepanu vaid kahele ning tahtevastasuse tõendamine jääb teisejärguliseks</w:t>
      </w:r>
      <w:r w:rsidR="002C6DFF">
        <w:t xml:space="preserve"> – asjaolu, mille suhtes menetlejad ise kriitilised olid</w:t>
      </w:r>
      <w:r w:rsidR="00375D4F">
        <w:t xml:space="preserve">. Samuti leidsid menetlejad, et </w:t>
      </w:r>
      <w:r w:rsidR="0037461E">
        <w:t>ka kehtivat õigust oleks võimalik tõlgendada ohvrit</w:t>
      </w:r>
      <w:r w:rsidR="00977BE1">
        <w:t xml:space="preserve"> toetavalt</w:t>
      </w:r>
      <w:r w:rsidR="0037461E">
        <w:t>, ent praktikas seda pigem ei tehta.</w:t>
      </w:r>
      <w:r w:rsidR="002C6DFF">
        <w:t xml:space="preserve"> Praktikud leidsid, et kui inimesena mõisteti, et ohvri vaatest on tegu vägistamisega, siis kehtiva karistusseadustiku järgi ei olnud neil võimalik</w:t>
      </w:r>
      <w:r w:rsidR="00F10D87">
        <w:t xml:space="preserve"> </w:t>
      </w:r>
      <w:r w:rsidR="002C6DFF">
        <w:t>ohvrit aidata ning kriminaalmenetlus, kui seda üldse alustati, tul</w:t>
      </w:r>
      <w:r w:rsidR="00F10D87">
        <w:t>i</w:t>
      </w:r>
      <w:r w:rsidR="002C6DFF">
        <w:t xml:space="preserve"> lõpetada</w:t>
      </w:r>
      <w:r w:rsidR="00F10D87">
        <w:t>.</w:t>
      </w:r>
      <w:r w:rsidR="00F10D87">
        <w:rPr>
          <w:rStyle w:val="FootnoteReference"/>
        </w:rPr>
        <w:footnoteReference w:id="7"/>
      </w:r>
      <w:r w:rsidR="00375D4F">
        <w:t xml:space="preserve"> </w:t>
      </w:r>
      <w:r w:rsidR="00035EEA">
        <w:t>Praxis leidis viidatud uuringus</w:t>
      </w:r>
      <w:r w:rsidR="00C6635A">
        <w:t xml:space="preserve"> kokkuvõtvalt</w:t>
      </w:r>
      <w:r w:rsidR="00035EEA">
        <w:t xml:space="preserve">, et uuringutulemuste valguses vajab Eesti muutuseks </w:t>
      </w:r>
      <w:r w:rsidR="001F60A1">
        <w:t>karistusseadustiku muutmist juhindudes JAH-mudelist.</w:t>
      </w:r>
    </w:p>
    <w:p w14:paraId="56C2118F" w14:textId="40DA911A" w:rsidR="005275F4" w:rsidRDefault="005275F4" w:rsidP="008865C5">
      <w:pPr>
        <w:pStyle w:val="ListParagraph"/>
        <w:jc w:val="both"/>
      </w:pPr>
    </w:p>
    <w:p w14:paraId="41BB00DE" w14:textId="77777777" w:rsidR="008B1C3A" w:rsidRDefault="00DF05CC" w:rsidP="00D67318">
      <w:pPr>
        <w:jc w:val="both"/>
      </w:pPr>
      <w:r>
        <w:t xml:space="preserve">          </w:t>
      </w:r>
    </w:p>
    <w:p w14:paraId="5E811157" w14:textId="69FE801E" w:rsidR="008B1C3A" w:rsidRDefault="008B1C3A" w:rsidP="00D67318">
      <w:pPr>
        <w:jc w:val="both"/>
      </w:pPr>
      <w:r>
        <w:t xml:space="preserve">           </w:t>
      </w:r>
      <w:r w:rsidR="00DF05CC">
        <w:t xml:space="preserve">  </w:t>
      </w:r>
      <w:r>
        <w:t>Lugupidamisega</w:t>
      </w:r>
    </w:p>
    <w:p w14:paraId="721472DD" w14:textId="77777777" w:rsidR="008B1C3A" w:rsidRDefault="008B1C3A" w:rsidP="00D67318">
      <w:pPr>
        <w:jc w:val="both"/>
      </w:pPr>
      <w:r>
        <w:t xml:space="preserve">            </w:t>
      </w:r>
    </w:p>
    <w:p w14:paraId="1E9D28F3" w14:textId="740B19C0" w:rsidR="00D67318" w:rsidRDefault="008B1C3A" w:rsidP="00D67318">
      <w:pPr>
        <w:jc w:val="both"/>
      </w:pPr>
      <w:r>
        <w:t xml:space="preserve">            </w:t>
      </w:r>
      <w:r w:rsidR="00DF05CC">
        <w:t xml:space="preserve"> Reet Laja</w:t>
      </w:r>
    </w:p>
    <w:p w14:paraId="3A67A737" w14:textId="4BF423E6" w:rsidR="00DF05CC" w:rsidRDefault="00DF05CC" w:rsidP="00D67318">
      <w:pPr>
        <w:jc w:val="both"/>
      </w:pPr>
      <w:r>
        <w:t xml:space="preserve">             Eesti Naisuurimus</w:t>
      </w:r>
      <w:r w:rsidR="00724DC5">
        <w:t xml:space="preserve">- </w:t>
      </w:r>
      <w:r>
        <w:t xml:space="preserve"> ja Teabekeskus</w:t>
      </w:r>
    </w:p>
    <w:p w14:paraId="0E756265" w14:textId="70FA9F78" w:rsidR="00DF05CC" w:rsidRDefault="00DF05CC" w:rsidP="00D67318">
      <w:pPr>
        <w:jc w:val="both"/>
      </w:pPr>
      <w:r>
        <w:t xml:space="preserve">          </w:t>
      </w:r>
      <w:r w:rsidR="00724DC5">
        <w:t xml:space="preserve">  </w:t>
      </w:r>
      <w:r>
        <w:t xml:space="preserve"> Juhatuse esinaine</w:t>
      </w:r>
    </w:p>
    <w:p w14:paraId="174D09F1" w14:textId="77777777" w:rsidR="00D67318" w:rsidRDefault="00D67318" w:rsidP="00D67318"/>
    <w:p w14:paraId="1DFB880A" w14:textId="77777777" w:rsidR="007C7D58" w:rsidRDefault="007C7D58"/>
    <w:sectPr w:rsidR="007C7D5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87138" w14:textId="77777777" w:rsidR="003B2562" w:rsidRDefault="003B2562" w:rsidP="004A12EA">
      <w:pPr>
        <w:spacing w:after="0" w:line="240" w:lineRule="auto"/>
      </w:pPr>
      <w:r>
        <w:separator/>
      </w:r>
    </w:p>
  </w:endnote>
  <w:endnote w:type="continuationSeparator" w:id="0">
    <w:p w14:paraId="0215942E" w14:textId="77777777" w:rsidR="003B2562" w:rsidRDefault="003B2562" w:rsidP="004A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411399"/>
      <w:docPartObj>
        <w:docPartGallery w:val="Page Numbers (Bottom of Page)"/>
        <w:docPartUnique/>
      </w:docPartObj>
    </w:sdtPr>
    <w:sdtEndPr>
      <w:rPr>
        <w:noProof/>
      </w:rPr>
    </w:sdtEndPr>
    <w:sdtContent>
      <w:p w14:paraId="0A1B63CE" w14:textId="13031899" w:rsidR="00E101F3" w:rsidRDefault="00E101F3">
        <w:pPr>
          <w:pStyle w:val="Footer"/>
          <w:jc w:val="right"/>
        </w:pPr>
        <w:r>
          <w:fldChar w:fldCharType="begin"/>
        </w:r>
        <w:r>
          <w:instrText xml:space="preserve"> PAGE   \* MERGEFORMAT </w:instrText>
        </w:r>
        <w:r>
          <w:fldChar w:fldCharType="separate"/>
        </w:r>
        <w:r w:rsidR="00605B07">
          <w:rPr>
            <w:noProof/>
          </w:rPr>
          <w:t>3</w:t>
        </w:r>
        <w:r>
          <w:rPr>
            <w:noProof/>
          </w:rPr>
          <w:fldChar w:fldCharType="end"/>
        </w:r>
      </w:p>
    </w:sdtContent>
  </w:sdt>
  <w:p w14:paraId="5A483332" w14:textId="77777777" w:rsidR="00E101F3" w:rsidRDefault="00E10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BFA25" w14:textId="77777777" w:rsidR="003B2562" w:rsidRDefault="003B2562" w:rsidP="004A12EA">
      <w:pPr>
        <w:spacing w:after="0" w:line="240" w:lineRule="auto"/>
      </w:pPr>
      <w:r>
        <w:separator/>
      </w:r>
    </w:p>
  </w:footnote>
  <w:footnote w:type="continuationSeparator" w:id="0">
    <w:p w14:paraId="667ED60D" w14:textId="77777777" w:rsidR="003B2562" w:rsidRDefault="003B2562" w:rsidP="004A12EA">
      <w:pPr>
        <w:spacing w:after="0" w:line="240" w:lineRule="auto"/>
      </w:pPr>
      <w:r>
        <w:continuationSeparator/>
      </w:r>
    </w:p>
  </w:footnote>
  <w:footnote w:id="1">
    <w:p w14:paraId="4B1227FF" w14:textId="047693E0" w:rsidR="006F4BF2" w:rsidRDefault="006F4BF2">
      <w:pPr>
        <w:pStyle w:val="FootnoteText"/>
      </w:pPr>
      <w:r>
        <w:rPr>
          <w:rStyle w:val="FootnoteReference"/>
        </w:rPr>
        <w:footnoteRef/>
      </w:r>
      <w:r>
        <w:t xml:space="preserve"> </w:t>
      </w:r>
      <w:r w:rsidR="00182768" w:rsidRPr="00182768">
        <w:t>Letico, V., Iliadis, M., &amp; Walters, R. (2025). De (a) fining consent: Exploring nuances of offering and receiving sexual consent among Deaf and Hard-of-Hearing people. Criminology &amp; Criminal Justice, 25(2), 444-462.</w:t>
      </w:r>
    </w:p>
  </w:footnote>
  <w:footnote w:id="2">
    <w:p w14:paraId="786EA356" w14:textId="10027A76" w:rsidR="004A12EA" w:rsidRDefault="004A12EA">
      <w:pPr>
        <w:pStyle w:val="FootnoteText"/>
      </w:pPr>
      <w:r>
        <w:rPr>
          <w:rStyle w:val="FootnoteReference"/>
        </w:rPr>
        <w:footnoteRef/>
      </w:r>
      <w:r>
        <w:t xml:space="preserve"> </w:t>
      </w:r>
      <w:r>
        <w:t>Vt täpsemalt ohvrite kogetava tardumise kohta</w:t>
      </w:r>
      <w:r w:rsidR="00960CCF">
        <w:t xml:space="preserve"> „</w:t>
      </w:r>
      <w:r w:rsidR="00960CCF" w:rsidRPr="00960CCF">
        <w:t>Kai Part: nõusolekuseadus muudab suhtumist seksuaalvägivalda</w:t>
      </w:r>
      <w:r w:rsidR="00960CCF">
        <w:t xml:space="preserve">“, ERR 6.10.2024.  </w:t>
      </w:r>
      <w:hyperlink r:id="rId1" w:history="1">
        <w:r w:rsidR="00960CCF" w:rsidRPr="003129B4">
          <w:rPr>
            <w:rStyle w:val="Hyperlink"/>
          </w:rPr>
          <w:t>https://www.err.ee/1609481819/kai-part-nousolekuseadus-muudab-suhtumist-seksuaalvagivalda</w:t>
        </w:r>
      </w:hyperlink>
      <w:r w:rsidR="00960CCF">
        <w:t xml:space="preserve">. </w:t>
      </w:r>
    </w:p>
  </w:footnote>
  <w:footnote w:id="3">
    <w:p w14:paraId="786DB473" w14:textId="77777777" w:rsidR="00E27DD8" w:rsidRDefault="00E27DD8" w:rsidP="00E27DD8">
      <w:pPr>
        <w:pStyle w:val="FootnoteText"/>
      </w:pPr>
      <w:r>
        <w:rPr>
          <w:rStyle w:val="FootnoteReference"/>
        </w:rPr>
        <w:footnoteRef/>
      </w:r>
      <w:r>
        <w:t xml:space="preserve"> </w:t>
      </w:r>
      <w:r>
        <w:t>Group of Experts on Action against Violence against Women and Domestic Violence (GREVIO) (2022).</w:t>
      </w:r>
    </w:p>
    <w:p w14:paraId="495F80AF" w14:textId="6605534C" w:rsidR="00E27DD8" w:rsidRDefault="00E27DD8" w:rsidP="00E27DD8">
      <w:pPr>
        <w:pStyle w:val="FootnoteText"/>
      </w:pPr>
      <w:r>
        <w:t>GREVIO’s (Baseline) Evaluation Report on legislative and other measures giving effect to the provisions of the Council of Europe Convention on Preventing and Combating Violence against Women and Domestic Violence (Istanbul Convention). Estonia. Veebis: https://rm.coe.int/grevio-inf-2022-32-eng.../1680a8fcc2.</w:t>
      </w:r>
    </w:p>
  </w:footnote>
  <w:footnote w:id="4">
    <w:p w14:paraId="3BB92933" w14:textId="61DD6098" w:rsidR="008B61DD" w:rsidRDefault="008B61DD">
      <w:pPr>
        <w:pStyle w:val="FootnoteText"/>
      </w:pPr>
      <w:r>
        <w:rPr>
          <w:rStyle w:val="FootnoteReference"/>
        </w:rPr>
        <w:footnoteRef/>
      </w:r>
      <w:r>
        <w:t xml:space="preserve"> </w:t>
      </w:r>
      <w:r w:rsidR="003F1533" w:rsidRPr="003F1533">
        <w:t>Bhattacharya, S., &amp; Singh, A. (2024). Guardians of consent: enhancing rape prevention through social control mechanisms. Frontiers in Sociology, 9, 1487451.</w:t>
      </w:r>
      <w:r w:rsidR="003F1533">
        <w:t xml:space="preserve"> </w:t>
      </w:r>
    </w:p>
  </w:footnote>
  <w:footnote w:id="5">
    <w:p w14:paraId="795FFF8D" w14:textId="36BC92DD" w:rsidR="00927978" w:rsidRDefault="00927978">
      <w:pPr>
        <w:pStyle w:val="FootnoteText"/>
      </w:pPr>
      <w:r>
        <w:rPr>
          <w:rStyle w:val="FootnoteReference"/>
        </w:rPr>
        <w:footnoteRef/>
      </w:r>
      <w:r>
        <w:t xml:space="preserve"> </w:t>
      </w:r>
      <w:r w:rsidR="0084351B" w:rsidRPr="0084351B">
        <w:t>Wettergren, Å., Bladini, M., &amp; Uhnoo, S. (2025). Challenging Legal Core Values: Consent-Based Rape Legislation In Practice. Policy Press.</w:t>
      </w:r>
      <w:r w:rsidR="0084351B">
        <w:t xml:space="preserve"> </w:t>
      </w:r>
    </w:p>
  </w:footnote>
  <w:footnote w:id="6">
    <w:p w14:paraId="00DCBF41" w14:textId="77777777" w:rsidR="00677486" w:rsidRDefault="00677486" w:rsidP="00677486">
      <w:pPr>
        <w:pStyle w:val="FootnoteText"/>
      </w:pPr>
      <w:r>
        <w:rPr>
          <w:rStyle w:val="FootnoteReference"/>
        </w:rPr>
        <w:footnoteRef/>
      </w:r>
      <w:r>
        <w:t xml:space="preserve"> </w:t>
      </w:r>
      <w:r>
        <w:t>Tinn, M., Järviste, L., Teidla-Kunitsõn, G. ja Sepper, M-L (2024). Seksuaalvägivalla kohtueelne uurimine. Mõttekoda Praxis.</w:t>
      </w:r>
    </w:p>
  </w:footnote>
  <w:footnote w:id="7">
    <w:p w14:paraId="1190CF05" w14:textId="2935AAE1" w:rsidR="00F10D87" w:rsidRDefault="00F10D87">
      <w:pPr>
        <w:pStyle w:val="FootnoteText"/>
      </w:pPr>
      <w:r>
        <w:rPr>
          <w:rStyle w:val="FootnoteReference"/>
        </w:rPr>
        <w:footnoteRef/>
      </w:r>
      <w:r>
        <w:t xml:space="preserve"> </w:t>
      </w:r>
      <w:r w:rsidRPr="00C673E9">
        <w:rPr>
          <w:i/>
          <w:iCs/>
        </w:rPr>
        <w:t>Ibid</w:t>
      </w:r>
      <w:r>
        <w:t xml:space="preserve">. Lk-d </w:t>
      </w:r>
      <w:r w:rsidR="000031AE">
        <w:t>77-80.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A3CE3"/>
    <w:multiLevelType w:val="hybridMultilevel"/>
    <w:tmpl w:val="2CAC3A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61040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D58"/>
    <w:rsid w:val="000031AE"/>
    <w:rsid w:val="00005EBD"/>
    <w:rsid w:val="00035EEA"/>
    <w:rsid w:val="00055F4B"/>
    <w:rsid w:val="00063446"/>
    <w:rsid w:val="0007423E"/>
    <w:rsid w:val="000900E8"/>
    <w:rsid w:val="00096784"/>
    <w:rsid w:val="000A5A79"/>
    <w:rsid w:val="000A7850"/>
    <w:rsid w:val="000B6100"/>
    <w:rsid w:val="00127E39"/>
    <w:rsid w:val="00175955"/>
    <w:rsid w:val="00182768"/>
    <w:rsid w:val="00187E2D"/>
    <w:rsid w:val="001C1A1A"/>
    <w:rsid w:val="001D59B2"/>
    <w:rsid w:val="001F60A1"/>
    <w:rsid w:val="002074E6"/>
    <w:rsid w:val="0027684D"/>
    <w:rsid w:val="002C6DFF"/>
    <w:rsid w:val="002E03A2"/>
    <w:rsid w:val="002E1A3B"/>
    <w:rsid w:val="003401E4"/>
    <w:rsid w:val="00352507"/>
    <w:rsid w:val="00357477"/>
    <w:rsid w:val="0036613E"/>
    <w:rsid w:val="0037461E"/>
    <w:rsid w:val="00375D4F"/>
    <w:rsid w:val="00385964"/>
    <w:rsid w:val="00397748"/>
    <w:rsid w:val="003B2562"/>
    <w:rsid w:val="003B76F3"/>
    <w:rsid w:val="003E7DBD"/>
    <w:rsid w:val="003F1533"/>
    <w:rsid w:val="00443A8B"/>
    <w:rsid w:val="00455EB2"/>
    <w:rsid w:val="004A12EA"/>
    <w:rsid w:val="004B142D"/>
    <w:rsid w:val="004C0274"/>
    <w:rsid w:val="004D0292"/>
    <w:rsid w:val="004E0C4C"/>
    <w:rsid w:val="004E0EB4"/>
    <w:rsid w:val="004E29C7"/>
    <w:rsid w:val="004F0D45"/>
    <w:rsid w:val="00500FF0"/>
    <w:rsid w:val="005239C0"/>
    <w:rsid w:val="005275F4"/>
    <w:rsid w:val="00530682"/>
    <w:rsid w:val="005A26F1"/>
    <w:rsid w:val="006004A8"/>
    <w:rsid w:val="00605B07"/>
    <w:rsid w:val="006073B8"/>
    <w:rsid w:val="00677486"/>
    <w:rsid w:val="00686197"/>
    <w:rsid w:val="006B1DB6"/>
    <w:rsid w:val="006C7A52"/>
    <w:rsid w:val="006F4576"/>
    <w:rsid w:val="006F4BF2"/>
    <w:rsid w:val="00722B6E"/>
    <w:rsid w:val="007242BD"/>
    <w:rsid w:val="00724DC5"/>
    <w:rsid w:val="00736E01"/>
    <w:rsid w:val="007730F1"/>
    <w:rsid w:val="007A6576"/>
    <w:rsid w:val="007C7D58"/>
    <w:rsid w:val="007F13F2"/>
    <w:rsid w:val="008115B2"/>
    <w:rsid w:val="00815EA7"/>
    <w:rsid w:val="008201FF"/>
    <w:rsid w:val="0084351B"/>
    <w:rsid w:val="008865C5"/>
    <w:rsid w:val="008B1C3A"/>
    <w:rsid w:val="008B61DD"/>
    <w:rsid w:val="008F06AB"/>
    <w:rsid w:val="008F5C6E"/>
    <w:rsid w:val="00927978"/>
    <w:rsid w:val="00932530"/>
    <w:rsid w:val="00952D01"/>
    <w:rsid w:val="00960CCF"/>
    <w:rsid w:val="00977BE1"/>
    <w:rsid w:val="009A54BC"/>
    <w:rsid w:val="009E5D48"/>
    <w:rsid w:val="00A521F2"/>
    <w:rsid w:val="00AD6F45"/>
    <w:rsid w:val="00B0375C"/>
    <w:rsid w:val="00B4321B"/>
    <w:rsid w:val="00B94D17"/>
    <w:rsid w:val="00BA7992"/>
    <w:rsid w:val="00BD61F9"/>
    <w:rsid w:val="00C01F26"/>
    <w:rsid w:val="00C3317C"/>
    <w:rsid w:val="00C6635A"/>
    <w:rsid w:val="00C673E9"/>
    <w:rsid w:val="00C861E5"/>
    <w:rsid w:val="00C927EB"/>
    <w:rsid w:val="00D027E3"/>
    <w:rsid w:val="00D36833"/>
    <w:rsid w:val="00D67318"/>
    <w:rsid w:val="00D742AE"/>
    <w:rsid w:val="00D921DB"/>
    <w:rsid w:val="00D94011"/>
    <w:rsid w:val="00DA22C6"/>
    <w:rsid w:val="00DB3134"/>
    <w:rsid w:val="00DC0962"/>
    <w:rsid w:val="00DC7EB4"/>
    <w:rsid w:val="00DD49D1"/>
    <w:rsid w:val="00DF05CC"/>
    <w:rsid w:val="00DF2461"/>
    <w:rsid w:val="00E101F3"/>
    <w:rsid w:val="00E27DD8"/>
    <w:rsid w:val="00E759BD"/>
    <w:rsid w:val="00E8344B"/>
    <w:rsid w:val="00E83AE0"/>
    <w:rsid w:val="00EC3AD2"/>
    <w:rsid w:val="00F10D87"/>
    <w:rsid w:val="00F22A4C"/>
    <w:rsid w:val="00F238D5"/>
    <w:rsid w:val="00F26978"/>
    <w:rsid w:val="00F30EE6"/>
    <w:rsid w:val="00F34B49"/>
    <w:rsid w:val="00F409B6"/>
    <w:rsid w:val="00F60494"/>
    <w:rsid w:val="00FA7EC7"/>
    <w:rsid w:val="00FB3DF5"/>
    <w:rsid w:val="00FC105F"/>
    <w:rsid w:val="00FF4E2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39FD"/>
  <w15:chartTrackingRefBased/>
  <w15:docId w15:val="{1278BCA2-3AB6-4058-AB2D-745892C3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7D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D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7D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7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D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D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D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D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D58"/>
    <w:rPr>
      <w:rFonts w:eastAsiaTheme="majorEastAsia" w:cstheme="majorBidi"/>
      <w:color w:val="272727" w:themeColor="text1" w:themeTint="D8"/>
    </w:rPr>
  </w:style>
  <w:style w:type="paragraph" w:styleId="Title">
    <w:name w:val="Title"/>
    <w:basedOn w:val="Normal"/>
    <w:next w:val="Normal"/>
    <w:link w:val="TitleChar"/>
    <w:uiPriority w:val="10"/>
    <w:qFormat/>
    <w:rsid w:val="007C7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D58"/>
    <w:pPr>
      <w:spacing w:before="160"/>
      <w:jc w:val="center"/>
    </w:pPr>
    <w:rPr>
      <w:i/>
      <w:iCs/>
      <w:color w:val="404040" w:themeColor="text1" w:themeTint="BF"/>
    </w:rPr>
  </w:style>
  <w:style w:type="character" w:customStyle="1" w:styleId="QuoteChar">
    <w:name w:val="Quote Char"/>
    <w:basedOn w:val="DefaultParagraphFont"/>
    <w:link w:val="Quote"/>
    <w:uiPriority w:val="29"/>
    <w:rsid w:val="007C7D58"/>
    <w:rPr>
      <w:i/>
      <w:iCs/>
      <w:color w:val="404040" w:themeColor="text1" w:themeTint="BF"/>
    </w:rPr>
  </w:style>
  <w:style w:type="paragraph" w:styleId="ListParagraph">
    <w:name w:val="List Paragraph"/>
    <w:basedOn w:val="Normal"/>
    <w:uiPriority w:val="34"/>
    <w:qFormat/>
    <w:rsid w:val="007C7D58"/>
    <w:pPr>
      <w:ind w:left="720"/>
      <w:contextualSpacing/>
    </w:pPr>
  </w:style>
  <w:style w:type="character" w:styleId="IntenseEmphasis">
    <w:name w:val="Intense Emphasis"/>
    <w:basedOn w:val="DefaultParagraphFont"/>
    <w:uiPriority w:val="21"/>
    <w:qFormat/>
    <w:rsid w:val="007C7D58"/>
    <w:rPr>
      <w:i/>
      <w:iCs/>
      <w:color w:val="0F4761" w:themeColor="accent1" w:themeShade="BF"/>
    </w:rPr>
  </w:style>
  <w:style w:type="paragraph" w:styleId="IntenseQuote">
    <w:name w:val="Intense Quote"/>
    <w:basedOn w:val="Normal"/>
    <w:next w:val="Normal"/>
    <w:link w:val="IntenseQuoteChar"/>
    <w:uiPriority w:val="30"/>
    <w:qFormat/>
    <w:rsid w:val="007C7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D58"/>
    <w:rPr>
      <w:i/>
      <w:iCs/>
      <w:color w:val="0F4761" w:themeColor="accent1" w:themeShade="BF"/>
    </w:rPr>
  </w:style>
  <w:style w:type="character" w:styleId="IntenseReference">
    <w:name w:val="Intense Reference"/>
    <w:basedOn w:val="DefaultParagraphFont"/>
    <w:uiPriority w:val="32"/>
    <w:qFormat/>
    <w:rsid w:val="007C7D58"/>
    <w:rPr>
      <w:b/>
      <w:bCs/>
      <w:smallCaps/>
      <w:color w:val="0F4761" w:themeColor="accent1" w:themeShade="BF"/>
      <w:spacing w:val="5"/>
    </w:rPr>
  </w:style>
  <w:style w:type="paragraph" w:styleId="FootnoteText">
    <w:name w:val="footnote text"/>
    <w:basedOn w:val="Normal"/>
    <w:link w:val="FootnoteTextChar"/>
    <w:uiPriority w:val="99"/>
    <w:semiHidden/>
    <w:unhideWhenUsed/>
    <w:rsid w:val="004A12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12EA"/>
    <w:rPr>
      <w:sz w:val="20"/>
      <w:szCs w:val="20"/>
    </w:rPr>
  </w:style>
  <w:style w:type="character" w:styleId="FootnoteReference">
    <w:name w:val="footnote reference"/>
    <w:basedOn w:val="DefaultParagraphFont"/>
    <w:uiPriority w:val="99"/>
    <w:semiHidden/>
    <w:unhideWhenUsed/>
    <w:rsid w:val="004A12EA"/>
    <w:rPr>
      <w:vertAlign w:val="superscript"/>
    </w:rPr>
  </w:style>
  <w:style w:type="character" w:styleId="Hyperlink">
    <w:name w:val="Hyperlink"/>
    <w:basedOn w:val="DefaultParagraphFont"/>
    <w:uiPriority w:val="99"/>
    <w:unhideWhenUsed/>
    <w:rsid w:val="00960CCF"/>
    <w:rPr>
      <w:color w:val="467886" w:themeColor="hyperlink"/>
      <w:u w:val="single"/>
    </w:rPr>
  </w:style>
  <w:style w:type="character" w:customStyle="1" w:styleId="UnresolvedMention1">
    <w:name w:val="Unresolved Mention1"/>
    <w:basedOn w:val="DefaultParagraphFont"/>
    <w:uiPriority w:val="99"/>
    <w:semiHidden/>
    <w:unhideWhenUsed/>
    <w:rsid w:val="00960CCF"/>
    <w:rPr>
      <w:color w:val="605E5C"/>
      <w:shd w:val="clear" w:color="auto" w:fill="E1DFDD"/>
    </w:rPr>
  </w:style>
  <w:style w:type="paragraph" w:styleId="Header">
    <w:name w:val="header"/>
    <w:basedOn w:val="Normal"/>
    <w:link w:val="HeaderChar"/>
    <w:uiPriority w:val="99"/>
    <w:unhideWhenUsed/>
    <w:rsid w:val="00E101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01F3"/>
  </w:style>
  <w:style w:type="paragraph" w:styleId="Footer">
    <w:name w:val="footer"/>
    <w:basedOn w:val="Normal"/>
    <w:link w:val="FooterChar"/>
    <w:uiPriority w:val="99"/>
    <w:unhideWhenUsed/>
    <w:rsid w:val="00E101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0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r.ee/1609481819/kai-part-nousolekuseadus-muudab-suhtumist-seksuaalvagival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94572-CF3A-4621-8F76-AC5A4FE6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853</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Mari-Liis Sepper</dc:creator>
  <cp:keywords/>
  <dc:description/>
  <cp:lastModifiedBy>Enut Enut</cp:lastModifiedBy>
  <cp:revision>4</cp:revision>
  <cp:lastPrinted>2025-09-01T10:26:00Z</cp:lastPrinted>
  <dcterms:created xsi:type="dcterms:W3CDTF">2025-09-01T10:04:00Z</dcterms:created>
  <dcterms:modified xsi:type="dcterms:W3CDTF">2025-09-01T10:53:00Z</dcterms:modified>
</cp:coreProperties>
</file>